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Sarah J. Maas Books in Order</w:t>
      </w:r>
    </w:p>
    <w:p>
      <w:pPr>
        <w:spacing w:after="300"/>
      </w:pPr>
      <w:r>
        <w:t xml:space="preserve">Created: 10/29/2026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Throne of Glass</w:t>
      </w:r>
    </w:p>
    <w:p>
      <w:pPr>
        <w:spacing w:after="200"/>
        <w:ind w:left="1800"/>
      </w:pPr>
      <w:r>
        <w:rPr>
          <w:i/>
          <w:iCs/>
          <w:sz w:val="22"/>
          <w:szCs w:val="22"/>
        </w:rPr>
        <w:t xml:space="preserve">An imprisoned assassin enters a competition to become the king’s champion, bringing dangerous court politics and an emerging mystery into her path. Start here for the series’ original introduction to Celaena Sardothien.</w:t>
      </w:r>
    </w:p>
    <w:p>
      <w:pPr>
        <w:spacing w:after="200"/>
        <w:ind w:left="1440"/>
      </w:pPr>
      <w:r>
        <w:rPr>
          <w:rFonts w:ascii="Arial" w:cs="Arial" w:eastAsia="Arial" w:hAnsi="Arial"/>
        </w:rPr>
        <w:t xml:space="preserve">☐ </w:t>
      </w:r>
      <w:r>
        <w:rPr>
          <w:b/>
          <w:bCs/>
        </w:rPr>
        <w:t xml:space="preserve">Crown of Midnight</w:t>
      </w:r>
    </w:p>
    <w:p>
      <w:pPr>
        <w:spacing w:after="200"/>
        <w:ind w:left="1800"/>
      </w:pPr>
      <w:r>
        <w:rPr>
          <w:i/>
          <w:iCs/>
          <w:sz w:val="22"/>
          <w:szCs w:val="22"/>
        </w:rPr>
        <w:t xml:space="preserve">Celaena’s work for the crown draws her further into the secrets surrounding the court. This direct sequel builds on the relationships and tensions introduced in Throne of Glass.</w:t>
      </w:r>
    </w:p>
    <w:p>
      <w:pPr>
        <w:spacing w:after="200"/>
        <w:ind w:left="1440"/>
      </w:pPr>
      <w:r>
        <w:rPr>
          <w:rFonts w:ascii="Arial" w:cs="Arial" w:eastAsia="Arial" w:hAnsi="Arial"/>
        </w:rPr>
        <w:t xml:space="preserve">☐ </w:t>
      </w:r>
      <w:r>
        <w:rPr>
          <w:b/>
          <w:bCs/>
        </w:rPr>
        <w:t xml:space="preserve">The Assassin’s Blade</w:t>
      </w:r>
    </w:p>
    <w:p>
      <w:pPr>
        <w:spacing w:after="200"/>
        <w:ind w:left="1800"/>
      </w:pPr>
      <w:r>
        <w:rPr>
          <w:i/>
          <w:iCs/>
          <w:sz w:val="22"/>
          <w:szCs w:val="22"/>
        </w:rPr>
        <w:t xml:space="preserve">Five connected prequel novellas explore Celaena’s life before the main series. Read this collection after Crown of Midnight for the author’s recommended sequence, or first if you prefer to begin with the earliest events.</w:t>
      </w:r>
    </w:p>
    <w:p>
      <w:pPr>
        <w:spacing w:after="200"/>
        <w:ind w:left="1440"/>
      </w:pPr>
      <w:r>
        <w:rPr>
          <w:rFonts w:ascii="Arial" w:cs="Arial" w:eastAsia="Arial" w:hAnsi="Arial"/>
        </w:rPr>
        <w:t xml:space="preserve">☐ </w:t>
      </w:r>
      <w:r>
        <w:rPr>
          <w:b/>
          <w:bCs/>
        </w:rPr>
        <w:t xml:space="preserve">Heir of Fire</w:t>
      </w:r>
    </w:p>
    <w:p>
      <w:pPr>
        <w:spacing w:after="200"/>
        <w:ind w:left="1800"/>
      </w:pPr>
      <w:r>
        <w:rPr>
          <w:i/>
          <w:iCs/>
          <w:sz w:val="22"/>
          <w:szCs w:val="22"/>
        </w:rPr>
        <w:t xml:space="preserve">Celaena travels to a new land to confront the past she has tried to leave behind, while monstrous forces gather against her world. Her personal reckoning unfolds alongside a growing threat of conquest.</w:t>
      </w:r>
    </w:p>
    <w:p>
      <w:pPr>
        <w:spacing w:after="200"/>
        <w:ind w:left="1440"/>
      </w:pPr>
      <w:r>
        <w:rPr>
          <w:rFonts w:ascii="Arial" w:cs="Arial" w:eastAsia="Arial" w:hAnsi="Arial"/>
        </w:rPr>
        <w:t xml:space="preserve">☐ </w:t>
      </w:r>
      <w:r>
        <w:rPr>
          <w:b/>
          <w:bCs/>
        </w:rPr>
        <w:t xml:space="preserve">Queen of Shadows</w:t>
      </w:r>
    </w:p>
    <w:p>
      <w:pPr>
        <w:spacing w:after="200"/>
        <w:ind w:left="1800"/>
      </w:pPr>
      <w:r>
        <w:rPr>
          <w:i/>
          <w:iCs/>
          <w:sz w:val="22"/>
          <w:szCs w:val="22"/>
        </w:rPr>
        <w:t xml:space="preserve">Rescuing friends and challenging a brutal king bring Celaena’s fight into sharper focus. The struggle combines personal vengeance with the hope of freeing people living under his rule.</w:t>
      </w:r>
    </w:p>
    <w:p>
      <w:pPr>
        <w:spacing w:after="200"/>
        <w:ind w:left="1440"/>
      </w:pPr>
      <w:r>
        <w:rPr>
          <w:rFonts w:ascii="Arial" w:cs="Arial" w:eastAsia="Arial" w:hAnsi="Arial"/>
        </w:rPr>
        <w:t xml:space="preserve">☐ </w:t>
      </w:r>
      <w:r>
        <w:rPr>
          <w:b/>
          <w:bCs/>
        </w:rPr>
        <w:t xml:space="preserve">Empire of Storms</w:t>
      </w:r>
    </w:p>
    <w:p>
      <w:pPr>
        <w:spacing w:after="200"/>
        <w:ind w:left="1800"/>
      </w:pPr>
      <w:r>
        <w:rPr>
          <w:i/>
          <w:iCs/>
          <w:sz w:val="22"/>
          <w:szCs w:val="22"/>
        </w:rPr>
        <w:t xml:space="preserve">Alliances and competing ambitions expand the conflict across the series’ world. Read this before Tower of Dawn for a straightforward, book-by-book route through their overlapping timelines.</w:t>
      </w:r>
    </w:p>
    <w:p>
      <w:pPr>
        <w:spacing w:after="200"/>
        <w:ind w:left="1440"/>
      </w:pPr>
      <w:r>
        <w:rPr>
          <w:rFonts w:ascii="Arial" w:cs="Arial" w:eastAsia="Arial" w:hAnsi="Arial"/>
        </w:rPr>
        <w:t xml:space="preserve">☐ </w:t>
      </w:r>
      <w:r>
        <w:rPr>
          <w:b/>
          <w:bCs/>
        </w:rPr>
        <w:t xml:space="preserve">Tower of Dawn</w:t>
      </w:r>
    </w:p>
    <w:p>
      <w:pPr>
        <w:spacing w:after="200"/>
        <w:ind w:left="1800"/>
      </w:pPr>
      <w:r>
        <w:rPr>
          <w:i/>
          <w:iCs/>
          <w:sz w:val="22"/>
          <w:szCs w:val="22"/>
        </w:rPr>
        <w:t xml:space="preserve">Chaol’s journey brings the southern continent and its people into focus. Its events overlap with Empire of Storms, and its developments matter to the final book.</w:t>
      </w:r>
    </w:p>
    <w:p>
      <w:pPr>
        <w:spacing w:after="200"/>
        <w:ind w:left="1440"/>
      </w:pPr>
      <w:r>
        <w:rPr>
          <w:rFonts w:ascii="Arial" w:cs="Arial" w:eastAsia="Arial" w:hAnsi="Arial"/>
        </w:rPr>
        <w:t xml:space="preserve">☐ </w:t>
      </w:r>
      <w:r>
        <w:rPr>
          <w:b/>
          <w:bCs/>
        </w:rPr>
        <w:t xml:space="preserve">Kingdom of Ash</w:t>
      </w:r>
    </w:p>
    <w:p>
      <w:pPr>
        <w:spacing w:after="200"/>
        <w:ind w:left="1800"/>
      </w:pPr>
      <w:r>
        <w:rPr>
          <w:i/>
          <w:iCs/>
          <w:sz w:val="22"/>
          <w:szCs w:val="22"/>
        </w:rPr>
        <w:t xml:space="preserve">The struggle against the Queen of the Fae reaches its final stage as scattered allies fight for Erilea’s future. Personal endurance and the effort to unite those allies drive the conclusion of the Throne of Glass story.</w:t>
      </w:r>
    </w:p>
    <w:p>
      <w:pPr>
        <w:spacing w:after="200"/>
        <w:ind w:left="1440"/>
      </w:pPr>
      <w:r>
        <w:rPr>
          <w:rFonts w:ascii="Arial" w:cs="Arial" w:eastAsia="Arial" w:hAnsi="Arial"/>
        </w:rPr>
        <w:t xml:space="preserve">☐ </w:t>
      </w:r>
      <w:r>
        <w:rPr>
          <w:b/>
          <w:bCs/>
        </w:rPr>
        <w:t xml:space="preserve">A Court of Thorns and Roses</w:t>
      </w:r>
    </w:p>
    <w:p>
      <w:pPr>
        <w:spacing w:after="200"/>
        <w:ind w:left="1800"/>
      </w:pPr>
      <w:r>
        <w:rPr>
          <w:i/>
          <w:iCs/>
          <w:sz w:val="22"/>
          <w:szCs w:val="22"/>
        </w:rPr>
        <w:t xml:space="preserve">A young huntress is taken into the realm of the faeries after killing a wolf in the woods. This is the starting point for Feyre’s story and the romance-led fantasy series.</w:t>
      </w:r>
    </w:p>
    <w:p>
      <w:pPr>
        <w:spacing w:after="200"/>
        <w:ind w:left="1440"/>
      </w:pPr>
      <w:r>
        <w:rPr>
          <w:rFonts w:ascii="Arial" w:cs="Arial" w:eastAsia="Arial" w:hAnsi="Arial"/>
        </w:rPr>
        <w:t xml:space="preserve">☐ </w:t>
      </w:r>
      <w:r>
        <w:rPr>
          <w:b/>
          <w:bCs/>
        </w:rPr>
        <w:t xml:space="preserve">A Court of Mist and Fury</w:t>
      </w:r>
    </w:p>
    <w:p>
      <w:pPr>
        <w:spacing w:after="200"/>
        <w:ind w:left="1800"/>
      </w:pPr>
      <w:r>
        <w:rPr>
          <w:i/>
          <w:iCs/>
          <w:sz w:val="22"/>
          <w:szCs w:val="22"/>
        </w:rPr>
        <w:t xml:space="preserve">Feyre’s bargain with Rhysand draws her into the political manoeuvring of the Night Court. As she works to recover from her earlier ordeal, she must decide what kind of future she wants for herself.</w:t>
      </w:r>
    </w:p>
    <w:p>
      <w:pPr>
        <w:spacing w:after="200"/>
        <w:ind w:left="1440"/>
      </w:pPr>
      <w:r>
        <w:rPr>
          <w:rFonts w:ascii="Arial" w:cs="Arial" w:eastAsia="Arial" w:hAnsi="Arial"/>
        </w:rPr>
        <w:t xml:space="preserve">☐ </w:t>
      </w:r>
      <w:r>
        <w:rPr>
          <w:b/>
          <w:bCs/>
        </w:rPr>
        <w:t xml:space="preserve">A Court of Wings and Ruin</w:t>
      </w:r>
    </w:p>
    <w:p>
      <w:pPr>
        <w:spacing w:after="200"/>
        <w:ind w:left="1800"/>
      </w:pPr>
      <w:r>
        <w:rPr>
          <w:i/>
          <w:iCs/>
          <w:sz w:val="22"/>
          <w:szCs w:val="22"/>
        </w:rPr>
        <w:t xml:space="preserve">Feyre gathers intelligence as an invading king threatens Prythian, turning courtly deception into a matter of survival. Building alliances among the High Lords becomes as important as deciding whom she can trust.</w:t>
      </w:r>
    </w:p>
    <w:p>
      <w:pPr>
        <w:spacing w:after="200"/>
        <w:ind w:left="1440"/>
      </w:pPr>
      <w:r>
        <w:rPr>
          <w:rFonts w:ascii="Arial" w:cs="Arial" w:eastAsia="Arial" w:hAnsi="Arial"/>
        </w:rPr>
        <w:t xml:space="preserve">☐ </w:t>
      </w:r>
      <w:r>
        <w:rPr>
          <w:b/>
          <w:bCs/>
        </w:rPr>
        <w:t xml:space="preserve">A Court of Frost and Starlight</w:t>
      </w:r>
    </w:p>
    <w:p>
      <w:pPr>
        <w:spacing w:after="200"/>
        <w:ind w:left="1800"/>
      </w:pPr>
      <w:r>
        <w:rPr>
          <w:i/>
          <w:iCs/>
          <w:sz w:val="22"/>
          <w:szCs w:val="22"/>
        </w:rPr>
        <w:t xml:space="preserve">A shorter, winter-solstice story gives the characters room to reflect and look ahead. It sits between Wings and Ruin and Silver Flames, making it a useful bridge rather than an alternate edition of either book.</w:t>
      </w:r>
    </w:p>
    <w:p>
      <w:pPr>
        <w:spacing w:after="200"/>
        <w:ind w:left="1440"/>
      </w:pPr>
      <w:r>
        <w:rPr>
          <w:rFonts w:ascii="Arial" w:cs="Arial" w:eastAsia="Arial" w:hAnsi="Arial"/>
        </w:rPr>
        <w:t xml:space="preserve">☐ </w:t>
      </w:r>
      <w:r>
        <w:rPr>
          <w:b/>
          <w:bCs/>
        </w:rPr>
        <w:t xml:space="preserve">A Court of Silver Flames</w:t>
      </w:r>
    </w:p>
    <w:p>
      <w:pPr>
        <w:spacing w:after="200"/>
        <w:ind w:left="1800"/>
      </w:pPr>
      <w:r>
        <w:rPr>
          <w:i/>
          <w:iCs/>
          <w:sz w:val="22"/>
          <w:szCs w:val="22"/>
        </w:rPr>
        <w:t xml:space="preserve">Nesta becomes the focus of a story about rebuilding, relationships and finding strength. Read after Frost and Starlight to follow the series’ progression into this character-led chapter.</w:t>
      </w:r>
    </w:p>
    <w:p>
      <w:pPr>
        <w:spacing w:after="200"/>
        <w:ind w:left="1440"/>
      </w:pPr>
      <w:r>
        <w:rPr>
          <w:rFonts w:ascii="Arial" w:cs="Arial" w:eastAsia="Arial" w:hAnsi="Arial"/>
        </w:rPr>
        <w:t xml:space="preserve">☐ </w:t>
      </w:r>
      <w:r>
        <w:rPr>
          <w:b/>
          <w:bCs/>
        </w:rPr>
        <w:t xml:space="preserve">A Court of Splintered Harmony: The Valkyrie Cycle, Movement I</w:t>
      </w:r>
    </w:p>
    <w:p>
      <w:pPr>
        <w:spacing w:after="200"/>
        <w:ind w:left="1800"/>
      </w:pPr>
      <w:r>
        <w:rPr>
          <w:i/>
          <w:iCs/>
          <w:sz w:val="22"/>
          <w:szCs w:val="22"/>
        </w:rPr>
        <w:t xml:space="preserve">The opening volume of The Valkyrie Cycle continues the A Court of Thorns and Roses series. Follow the earlier ACOTAR books through Silver Flames before beginning this new movement.</w:t>
      </w:r>
    </w:p>
    <w:p>
      <w:pPr>
        <w:spacing w:after="200"/>
        <w:ind w:left="1440"/>
      </w:pPr>
      <w:r>
        <w:rPr>
          <w:rFonts w:ascii="Arial" w:cs="Arial" w:eastAsia="Arial" w:hAnsi="Arial"/>
        </w:rPr>
        <w:t xml:space="preserve">☐ </w:t>
      </w:r>
      <w:r>
        <w:rPr>
          <w:b/>
          <w:bCs/>
        </w:rPr>
        <w:t xml:space="preserve">House of Earth and Blood</w:t>
      </w:r>
    </w:p>
    <w:p>
      <w:pPr>
        <w:spacing w:after="200"/>
        <w:ind w:left="1800"/>
      </w:pPr>
      <w:r>
        <w:rPr>
          <w:i/>
          <w:iCs/>
          <w:sz w:val="22"/>
          <w:szCs w:val="22"/>
        </w:rPr>
        <w:t xml:space="preserve">Bryce Quinlan’s life in a city of humans and magical beings is transformed by a violent mystery. Begin Crescent City here for its blend of investigation, friendship and romantic fantasy.</w:t>
      </w:r>
    </w:p>
    <w:p>
      <w:pPr>
        <w:spacing w:after="200"/>
        <w:ind w:left="1440"/>
      </w:pPr>
      <w:r>
        <w:rPr>
          <w:rFonts w:ascii="Arial" w:cs="Arial" w:eastAsia="Arial" w:hAnsi="Arial"/>
        </w:rPr>
        <w:t xml:space="preserve">☐ </w:t>
      </w:r>
      <w:r>
        <w:rPr>
          <w:b/>
          <w:bCs/>
        </w:rPr>
        <w:t xml:space="preserve">House of Sky and Breath</w:t>
      </w:r>
    </w:p>
    <w:p>
      <w:pPr>
        <w:spacing w:after="200"/>
        <w:ind w:left="1800"/>
      </w:pPr>
      <w:r>
        <w:rPr>
          <w:i/>
          <w:iCs/>
          <w:sz w:val="22"/>
          <w:szCs w:val="22"/>
        </w:rPr>
        <w:t xml:space="preserve">Bryce’s story continues as the pressures around her city deepen. Read after House of Earth and Blood so the returning relationships and unresolved questions have their full context.</w:t>
      </w:r>
    </w:p>
    <w:p>
      <w:pPr>
        <w:spacing w:after="200"/>
        <w:ind w:left="1440"/>
      </w:pPr>
      <w:r>
        <w:rPr>
          <w:rFonts w:ascii="Arial" w:cs="Arial" w:eastAsia="Arial" w:hAnsi="Arial"/>
        </w:rPr>
        <w:t xml:space="preserve">☐ </w:t>
      </w:r>
      <w:r>
        <w:rPr>
          <w:b/>
          <w:bCs/>
        </w:rPr>
        <w:t xml:space="preserve">House of Flame and Shadow</w:t>
      </w:r>
    </w:p>
    <w:p>
      <w:pPr>
        <w:spacing w:after="200"/>
        <w:ind w:left="1800"/>
      </w:pPr>
      <w:r>
        <w:rPr>
          <w:i/>
          <w:iCs/>
          <w:sz w:val="22"/>
          <w:szCs w:val="22"/>
        </w:rPr>
        <w:t xml:space="preserve">The third Crescent City volume takes forward the threads left by House of Sky and Breath. Keeping the first two books ahead of it preserves the discoveries that shape this stage of the story.</w:t>
      </w:r>
    </w:p>
    <w:p>
      <w:pPr>
        <w:spacing w:after="200"/>
        <w:ind w:left="1440"/>
      </w:pPr>
      <w:r>
        <w:rPr>
          <w:rFonts w:ascii="Arial" w:cs="Arial" w:eastAsia="Arial" w:hAnsi="Arial"/>
        </w:rPr>
        <w:t xml:space="preserve">☐ </w:t>
      </w:r>
      <w:r>
        <w:rPr>
          <w:b/>
          <w:bCs/>
        </w:rPr>
        <w:t xml:space="preserve">Catwoman: Soulstealer</w:t>
      </w:r>
    </w:p>
    <w:p>
      <w:pPr>
        <w:spacing w:after="200"/>
        <w:ind w:left="1800"/>
      </w:pPr>
      <w:r>
        <w:rPr>
          <w:i/>
          <w:iCs/>
          <w:sz w:val="22"/>
          <w:szCs w:val="22"/>
        </w:rPr>
        <w:t xml:space="preserve">Selina Kyle returns to Gotham in a standalone superhero story by Sarah J. Maas. This DC Icons novel offers a separate reading experience alongside her three fantasy series.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Sarah J. Maas Books in Order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2026-10-30T12:15:13.390Z</dcterms:created>
  <dcterms:modified xsi:type="dcterms:W3CDTF">2026-10-30T12:15:13.390Z</dcterms:modified>
</cp:coreProperties>
</file>

<file path=docProps/custom.xml><?xml version="1.0" encoding="utf-8"?>
<Properties xmlns="http://schemas.openxmlformats.org/officeDocument/2006/custom-properties" xmlns:vt="http://schemas.openxmlformats.org/officeDocument/2006/docPropsVTypes"/>
</file>